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民法典下公益诉讼的理论发展与实践创新研讨会与会回执</w:t>
      </w:r>
    </w:p>
    <w:bookmarkEnd w:id="0"/>
    <w:p>
      <w:pPr>
        <w:widowControl/>
        <w:shd w:val="clear" w:color="auto" w:fill="FFFFFF"/>
        <w:spacing w:line="405" w:lineRule="atLeas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</w:pPr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490"/>
        <w:gridCol w:w="2259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225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37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225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参会论文题目</w:t>
            </w:r>
          </w:p>
        </w:tc>
        <w:tc>
          <w:tcPr>
            <w:tcW w:w="737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行程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前往时间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返回时间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交通工具及车次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225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262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住宿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是否需要协助预定住宿房间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住宿时间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是（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val="en-US" w:eastAsia="zh-CN"/>
              </w:rPr>
              <w:t>全季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酒店）</w:t>
            </w:r>
          </w:p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否（自定酒店）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val="en-US" w:eastAsia="zh-CN"/>
              </w:rPr>
              <w:t xml:space="preserve">  7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val="en-US" w:eastAsia="zh-CN"/>
              </w:rPr>
              <w:t xml:space="preserve">  7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val="en-US" w:eastAsia="zh-CN"/>
              </w:rPr>
              <w:t>差旅费和住宿费由各参会代表自行承担。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其他事项</w:t>
            </w:r>
          </w:p>
        </w:tc>
        <w:tc>
          <w:tcPr>
            <w:tcW w:w="737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A4D60"/>
    <w:rsid w:val="2D1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2021-04-13T03:19:00Z</dcterms:created>
  <dc:creator>TQW</dc:creator>
  <cp:lastModifiedBy>TQW</cp:lastModifiedBy>
  <dcterms:modified xsi:type="dcterms:W3CDTF">2021-04-13T03:19:36Z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