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附件1：202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年冬季研究生学位论文答辩及学位授予工作安排表</w:t>
      </w:r>
    </w:p>
    <w:p>
      <w:pPr>
        <w:widowControl/>
        <w:spacing w:line="440" w:lineRule="exact"/>
        <w:ind w:firstLine="1044" w:firstLineChars="348"/>
        <w:rPr>
          <w:rFonts w:hint="eastAsia" w:ascii="仿宋_GB2312" w:eastAsia="仿宋_GB2312"/>
          <w:sz w:val="30"/>
          <w:szCs w:val="30"/>
        </w:rPr>
      </w:pPr>
    </w:p>
    <w:tbl>
      <w:tblPr>
        <w:tblStyle w:val="5"/>
        <w:tblW w:w="102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5"/>
        <w:gridCol w:w="3545"/>
        <w:gridCol w:w="41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流程任务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月2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9月1日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学校启动2021年冬季申请学位预登记，研究生登陆“研究生管理信息系统”提出申请，并完成科研成果录入和开题报告上传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1.未按时提交申请者视为推迟申请学位。（导师不需要审查）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科研成果必为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正式刊发</w:t>
            </w:r>
            <w:r>
              <w:rPr>
                <w:rFonts w:hint="eastAsia" w:ascii="宋体" w:hAnsi="宋体" w:cs="宋体"/>
                <w:kern w:val="0"/>
                <w:sz w:val="24"/>
              </w:rPr>
              <w:t>，包括在线发表。网络上无法查询的需提供原件。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9月2日-9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学院对网上提交申请人员进行毕业与学位申请资格审查，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并将审查结果在网上公示5天。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学籍卡一式2份于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日前提交给研究生院）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各类别研究生资格审查的具体内容见附件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2.科研成果审核实行网上查证或查看原件由学院自行决定，凡网上不能查证者需查看科研原件。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3.审查结果由学院录入系统。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审核不通过者，取消本次学位申请资格。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6.学院公示内容要求见附件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9月16日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月17日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 研究生登陆“研究生管理信息系统”上传拟送审学位论文；导师需在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9月18日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审核结束。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 学校进行毕业与学位申请资格抽查。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24"/>
              </w:rPr>
              <w:t>1. 送审论文应为完整版论文，不得体现导师姓名、本人学号及姓名。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 送审论文的附件须与正文合并成一个文件上传，博士自评表与艺术创作作品链接文本除外。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 送审论文中授权声明和原创性声明、答辩委员签名等内容可先去掉，等后面最终版论文再补充进去。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3. 论文为PDF格式,不超过10M。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摘要TXT文档需同步上传。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4. 导师对论文进行审核，审核通过后学院方可进行复制比检测。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9月19日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9月20日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学院对拟送审论文进行复制比检测。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检测报告和检测结果由学院导入系统，供师生查询。</w:t>
            </w:r>
            <w:r>
              <w:rPr>
                <w:rFonts w:hint="eastAsia"/>
                <w:kern w:val="0"/>
                <w:sz w:val="24"/>
              </w:rPr>
              <w:t>如发现严重剽窃、抄袭的论文，学院可取消论文作者申请毕业和学位资格，报学校审批，按肄业处理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9月26日-27日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学校审核论文检测结果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1.检测工作结束，学生不能再更新上传论文。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检测结果的处理按学校文件执行。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9月28日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学校确定校级盲审名单并予以公布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具体按文件要求。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25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11月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学位论文送审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1.校级盲审由学校负责组织网上评阅。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2.非校级盲审论文由学院负责送审，须通过研究生管理信息系统进行网上评阅，其他要求按学校文件执行。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学校公布校级盲审结果，并将评阅意见书带水印版分发给各学院。研究生根据评阅意见对论文修改，学院认定修改情况，确定答辩资格。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校级盲审和学院送审未通过者按有关文件规定处理。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学院应提前做好答辩安排录入系统，以便学生和导师查询。有加审论文的学院应根据评审进度安排答辩时间。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11月16日前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论文答辩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学院应完成答辩和修改等工作，结束后，学院将答辩结果录入系统。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11月18日下午4点前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日前研究生登陆“研究生管理信息系统”上传最终版论文,论文版本应与提交给校图书馆的版本一致。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日下午4点前导师进入系统完成对论文的审核。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导师应按时完成对学生最终版论文的审核（包括电子版和纸质版，纸质版与电子版内的原创声明需作者本人签名，使用授权声明需作者和导师签名）。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2.应提交的学位材料见附件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3.因提交版本错误产生的责任由研究生本人承担。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11月19日-11月21日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学校对论文进行文本复制比检测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检测结果的处理按学校文件执行。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12月中下旬（待定）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学校召开校学位评定委员会审议表决学位授予名单。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学位授予名单进行网上公示。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57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FF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12月30日-31日</w:t>
            </w:r>
          </w:p>
        </w:tc>
        <w:tc>
          <w:tcPr>
            <w:tcW w:w="35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发放毕业证书、学位证书</w:t>
            </w:r>
          </w:p>
        </w:tc>
        <w:tc>
          <w:tcPr>
            <w:tcW w:w="41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由各学院（培养单位）统一领取、发放。</w:t>
            </w:r>
          </w:p>
        </w:tc>
      </w:tr>
    </w:tbl>
    <w:p>
      <w:pPr>
        <w:pStyle w:val="2"/>
        <w:spacing w:line="440" w:lineRule="exact"/>
        <w:ind w:left="0" w:leftChars="0"/>
        <w:rPr>
          <w:rFonts w:hint="eastAsia" w:ascii="宋体" w:hAnsi="宋体"/>
        </w:rPr>
      </w:pPr>
      <w:bookmarkStart w:id="0" w:name="_GoBack"/>
      <w:bookmarkEnd w:id="0"/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51" w:right="1021" w:bottom="85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仿宋_GB2312" w:hAnsi="宋体" w:eastAsia="仿宋_GB2312"/>
        <w:sz w:val="21"/>
        <w:szCs w:val="21"/>
      </w:rPr>
    </w:pPr>
    <w:r>
      <w:rPr>
        <w:rFonts w:hint="eastAsia" w:ascii="仿宋_GB2312" w:hAnsi="宋体" w:eastAsia="仿宋_GB2312"/>
        <w:sz w:val="21"/>
        <w:szCs w:val="21"/>
      </w:rPr>
      <w:fldChar w:fldCharType="begin"/>
    </w:r>
    <w:r>
      <w:rPr>
        <w:rStyle w:val="7"/>
        <w:rFonts w:hint="eastAsia" w:ascii="仿宋_GB2312" w:hAnsi="宋体" w:eastAsia="仿宋_GB2312"/>
        <w:sz w:val="21"/>
        <w:szCs w:val="21"/>
      </w:rPr>
      <w:instrText xml:space="preserve">PAGE  </w:instrText>
    </w:r>
    <w:r>
      <w:rPr>
        <w:rFonts w:hint="eastAsia" w:ascii="仿宋_GB2312" w:hAnsi="宋体" w:eastAsia="仿宋_GB2312"/>
        <w:sz w:val="21"/>
        <w:szCs w:val="21"/>
      </w:rPr>
      <w:fldChar w:fldCharType="separate"/>
    </w:r>
    <w:r>
      <w:rPr>
        <w:rStyle w:val="7"/>
        <w:rFonts w:ascii="仿宋_GB2312" w:hAnsi="宋体" w:eastAsia="仿宋_GB2312"/>
        <w:sz w:val="21"/>
        <w:szCs w:val="21"/>
      </w:rPr>
      <w:t>- 1 -</w:t>
    </w:r>
    <w:r>
      <w:rPr>
        <w:rFonts w:hint="eastAsia" w:ascii="仿宋_GB2312" w:hAnsi="宋体" w:eastAsia="仿宋_GB2312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0FD3"/>
    <w:rsid w:val="02BC0FD3"/>
    <w:rsid w:val="491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仿宋_GB2312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2022-07-04T02:07:00Z</dcterms:created>
  <dc:creator>anjingjing</dc:creator>
  <cp:lastModifiedBy>anjingjing</cp:lastModifiedBy>
  <dcterms:modified xsi:type="dcterms:W3CDTF">2022-07-05T02:17:52Z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