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880"/>
        <w:jc w:val="center"/>
        <w:rPr>
          <w:rFonts w:ascii="仿宋_GB2312" w:hAnsi="仿宋_GB2312" w:eastAsia="仿宋_GB2312" w:cs="宋体"/>
          <w:sz w:val="44"/>
          <w:szCs w:val="44"/>
        </w:rPr>
      </w:pPr>
      <w:r>
        <w:rPr>
          <w:rFonts w:hint="eastAsia" w:ascii="仿宋_GB2312" w:hAnsi="仿宋_GB2312" w:eastAsia="仿宋_GB2312" w:cs="宋体"/>
          <w:sz w:val="44"/>
          <w:szCs w:val="44"/>
        </w:rPr>
        <w:t>通   知</w:t>
      </w:r>
    </w:p>
    <w:p>
      <w:pPr>
        <w:spacing w:line="460" w:lineRule="exact"/>
        <w:ind w:firstLine="600"/>
        <w:rPr>
          <w:rFonts w:hint="eastAsia" w:ascii="仿宋_GB2312" w:hAnsi="仿宋_GB2312" w:eastAsia="仿宋_GB2312" w:cs="宋体"/>
          <w:sz w:val="30"/>
          <w:szCs w:val="30"/>
        </w:rPr>
      </w:pPr>
      <w:r>
        <w:rPr>
          <w:rFonts w:hint="eastAsia" w:ascii="仿宋_GB2312" w:hAnsi="仿宋_GB2312" w:eastAsia="仿宋_GB2312" w:cs="宋体"/>
          <w:sz w:val="30"/>
          <w:szCs w:val="30"/>
        </w:rPr>
        <w:t>福建新华发行集团福州分公司与福建省教育图书发行中心联合，于2017年4月14日9:30点----16:00点在福建师大开展教材巡展活动，活动内容如下</w:t>
      </w:r>
    </w:p>
    <w:p>
      <w:pPr>
        <w:spacing w:line="460" w:lineRule="exact"/>
        <w:ind w:firstLine="600"/>
        <w:rPr>
          <w:rFonts w:hint="eastAsia" w:ascii="仿宋_GB2312" w:hAnsi="仿宋_GB2312" w:eastAsia="仿宋_GB2312"/>
          <w:color w:val="262626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/>
          <w:color w:val="262626"/>
          <w:sz w:val="30"/>
          <w:szCs w:val="30"/>
          <w:shd w:val="clear" w:fill="FFFFFF"/>
        </w:rPr>
        <w:t>1、精品教材展示。本次活动提供的样书涵</w:t>
      </w:r>
      <w:bookmarkStart w:id="0" w:name="_GoBack"/>
      <w:bookmarkEnd w:id="0"/>
      <w:r>
        <w:rPr>
          <w:rFonts w:hint="eastAsia" w:ascii="仿宋_GB2312" w:hAnsi="仿宋_GB2312" w:eastAsia="仿宋_GB2312"/>
          <w:color w:val="262626"/>
          <w:sz w:val="30"/>
          <w:szCs w:val="30"/>
          <w:shd w:val="clear" w:fill="FFFFFF"/>
        </w:rPr>
        <w:t>盖本科各专业教材。</w:t>
      </w:r>
    </w:p>
    <w:p>
      <w:pPr>
        <w:spacing w:line="460" w:lineRule="exact"/>
        <w:ind w:firstLine="600"/>
        <w:rPr>
          <w:rFonts w:hint="eastAsia" w:ascii="仿宋_GB2312" w:hAnsi="仿宋_GB2312" w:eastAsia="仿宋_GB2312"/>
          <w:color w:val="262626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/>
          <w:color w:val="262626"/>
          <w:sz w:val="30"/>
          <w:szCs w:val="30"/>
          <w:shd w:val="clear" w:fill="FFFFFF"/>
        </w:rPr>
        <w:t>2、出版意向洽谈。征集出版选题，有合适选题出版教材的老师可联系出版事宜。</w:t>
      </w:r>
    </w:p>
    <w:p>
      <w:pPr>
        <w:spacing w:line="460" w:lineRule="exact"/>
        <w:ind w:firstLine="600"/>
        <w:rPr>
          <w:rFonts w:hint="eastAsia" w:ascii="仿宋_GB2312" w:hAnsi="仿宋_GB2312" w:eastAsia="仿宋_GB2312"/>
          <w:color w:val="262626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/>
          <w:color w:val="262626"/>
          <w:sz w:val="30"/>
          <w:szCs w:val="30"/>
          <w:shd w:val="clear" w:fill="FFFFFF"/>
        </w:rPr>
        <w:t>3、产品客户服务。提供出版社产品的客户服务，包括提供样书，老师选中任课专业的样书，现场每人限送3本，如还有需要的，通过登记相关信息，后由新华书店统一送校教材科发放给老师。</w:t>
      </w:r>
    </w:p>
    <w:p>
      <w:pPr>
        <w:spacing w:line="460" w:lineRule="exact"/>
        <w:ind w:firstLine="600"/>
        <w:rPr>
          <w:rFonts w:hint="eastAsia" w:ascii="仿宋_GB2312" w:hAnsi="仿宋_GB2312" w:eastAsia="仿宋_GB2312"/>
          <w:color w:val="262626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/>
          <w:color w:val="262626"/>
          <w:sz w:val="30"/>
          <w:szCs w:val="30"/>
          <w:shd w:val="clear" w:fill="FFFFFF"/>
        </w:rPr>
        <w:t>4、教育信息交流。出版社同志与学校教师交流相关专业领域的最新发展动态等，了解学校的课程建设和教学情况，收集教师、学生使用教材的意见和建议。</w:t>
      </w:r>
    </w:p>
    <w:p>
      <w:pPr>
        <w:spacing w:line="460" w:lineRule="exact"/>
        <w:ind w:firstLine="600"/>
        <w:rPr>
          <w:rFonts w:hint="eastAsia" w:ascii="仿宋_GB2312" w:hAnsi="仿宋_GB2312" w:eastAsia="仿宋_GB2312" w:cs="宋体"/>
          <w:sz w:val="30"/>
          <w:szCs w:val="30"/>
        </w:rPr>
      </w:pPr>
      <w:r>
        <w:rPr>
          <w:rFonts w:hint="eastAsia" w:ascii="仿宋_GB2312" w:hAnsi="仿宋_GB2312" w:eastAsia="仿宋_GB2312" w:cs="宋体"/>
          <w:sz w:val="30"/>
          <w:szCs w:val="30"/>
        </w:rPr>
        <w:t>5、参展出版社：机械工业出版社、科学出版社、人民邮电出版社、清华大学出版社、电子工业出版社、化学工业出版社、北京大学出版社、中国人民大学出版社、中国水利水电出版社、武汉大学出版社、南京大学出版社、大连理工出版社、华东师范大学出版社、北京师范大学出版社、上海音乐出版社、北京中青雄狮文化传媒有限公司、中国农业大学出版社、中国林业出版社</w:t>
      </w:r>
    </w:p>
    <w:p>
      <w:pPr>
        <w:spacing w:line="460" w:lineRule="exact"/>
        <w:ind w:firstLine="600"/>
        <w:rPr>
          <w:rFonts w:hint="eastAsia" w:ascii="仿宋_GB2312" w:hAnsi="仿宋_GB2312" w:eastAsia="仿宋_GB2312" w:cs="宋体"/>
          <w:sz w:val="30"/>
          <w:szCs w:val="30"/>
        </w:rPr>
      </w:pPr>
      <w:r>
        <w:rPr>
          <w:rFonts w:hint="eastAsia" w:ascii="仿宋_GB2312" w:hAnsi="仿宋_GB2312" w:eastAsia="仿宋_GB2312" w:cs="宋体"/>
          <w:sz w:val="30"/>
          <w:szCs w:val="30"/>
        </w:rPr>
        <w:t>望各院系老师能积极参加</w:t>
      </w:r>
    </w:p>
    <w:p>
      <w:pPr>
        <w:spacing w:line="460" w:lineRule="exact"/>
        <w:ind w:firstLine="600"/>
        <w:rPr>
          <w:rFonts w:hint="eastAsia" w:ascii="仿宋_GB2312" w:hAnsi="仿宋_GB2312" w:eastAsia="仿宋_GB2312" w:cs="宋体"/>
          <w:sz w:val="30"/>
          <w:szCs w:val="30"/>
        </w:rPr>
      </w:pPr>
    </w:p>
    <w:p>
      <w:pPr>
        <w:spacing w:line="460" w:lineRule="exact"/>
        <w:ind w:firstLine="600"/>
        <w:rPr>
          <w:sz w:val="30"/>
          <w:szCs w:val="30"/>
        </w:rPr>
      </w:pPr>
      <w:r>
        <w:rPr>
          <w:rFonts w:hint="eastAsia" w:ascii="仿宋_GB2312" w:hAnsi="仿宋_GB2312" w:eastAsia="仿宋_GB2312" w:cs="宋体"/>
          <w:sz w:val="30"/>
          <w:szCs w:val="30"/>
        </w:rPr>
        <w:t xml:space="preserve">                                </w:t>
      </w:r>
    </w:p>
    <w:sectPr>
      <w:footnotePr>
        <w:numFmt w:val="decimal"/>
      </w:footnotePr>
      <w:endnotePr>
        <w:numFmt w:val="decimal"/>
      </w:endnotePr>
      <w:pgSz w:w="11906" w:h="16838"/>
      <w:pgMar w:top="1440" w:right="1800" w:bottom="1440" w:left="1800" w:header="720" w:footer="720" w:gutter="0"/>
      <w:paperSrc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8546688"/>
  <w:drawingGridVerticalSpacing w:val="18546688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711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ahoma" w:hAnsi="Tahoma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link w:val="1"/>
    <w:uiPriority w:val="0"/>
    <w:rPr>
      <w:rFonts w:ascii="Calibri" w:hAnsi="Calibri"/>
    </w:rPr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spacing w:after="200"/>
    </w:pPr>
    <w:rPr>
      <w:rFonts w:ascii="Tahoma" w:hAnsi="Tahoma" w:eastAsia="微软雅黑" w:cs="Times New Roman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/>
      <w:spacing w:after="200"/>
      <w:jc w:val="center"/>
    </w:pPr>
    <w:rPr>
      <w:rFonts w:ascii="Tahoma" w:hAnsi="Tahoma" w:eastAsia="微软雅黑" w:cs="Times New Roman"/>
      <w:sz w:val="18"/>
      <w:szCs w:val="18"/>
      <w:lang w:val="en-US" w:eastAsia="zh-CN" w:bidi="ar-SA"/>
    </w:rPr>
  </w:style>
  <w:style w:type="character" w:styleId="5">
    <w:name w:val="Strong"/>
    <w:link w:val="1"/>
    <w:qFormat/>
    <w:uiPriority w:val="0"/>
    <w:rPr>
      <w:b/>
      <w:bCs/>
    </w:rPr>
  </w:style>
  <w:style w:type="character" w:customStyle="1" w:styleId="7">
    <w:name w:val="页眉 Char"/>
    <w:link w:val="1"/>
    <w:qFormat/>
    <w:uiPriority w:val="0"/>
    <w:rPr>
      <w:rFonts w:ascii="Tahoma" w:hAnsi="Tahoma"/>
      <w:sz w:val="18"/>
      <w:szCs w:val="18"/>
    </w:rPr>
  </w:style>
  <w:style w:type="character" w:customStyle="1" w:styleId="8">
    <w:name w:val="页脚 Char"/>
    <w:link w:val="1"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ahoma"/>
        <a:ea typeface="微软雅黑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dragon</dc:creator>
  <cp:lastModifiedBy>dragon</cp:lastModifiedBy>
  <cp:lastPrinted>2017-04-12T00:54:30Z</cp:lastPrinted>
  <dcterms:modified xsi:type="dcterms:W3CDTF">2017-04-12T01:04:51Z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